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3.png" ContentType="image/png"/>
  <Override PartName="/word/media/image2.png" ContentType="image/png"/>
  <Override PartName="/word/media/image4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CECILIA GUTIERREZ OSPITIA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 xml:space="preserve">Coordinadora, G. Gestor de Canales de Atención  y Peticiones Ciudadanas. 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Ministerio de Salud y Protección Social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Carrera 13 No. 32 - 76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envios@minsalud.gov.co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Bogotá D.C.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Asunto: Respuesta a </w:t>
      </w: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solicitud de traslado</w:t>
      </w:r>
      <w:r>
        <w:rPr>
          <w:rFonts w:cs="Arial" w:ascii="Arial" w:hAnsi="Arial"/>
        </w:rPr>
        <w:t xml:space="preserve">_Fumigación en Institución Educativa Ciudad </w:t>
      </w: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de Cali.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LOnormal"/>
        <w:spacing w:lineRule="auto" w:line="276"/>
        <w:ind w:left="0" w:right="0" w:hanging="0"/>
        <w:jc w:val="both"/>
        <w:rPr/>
      </w:pP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FFFFFF" w:val="clear"/>
          <w:lang w:val="es-CO" w:eastAsia="ar-SA" w:bidi="ar-SA"/>
        </w:rPr>
        <w:t xml:space="preserve">De manera atenta, en respuesta a solicitud de traslado ciudadano(a) ANÓNIMO N.N, radicado No. 202442400629142 al Ministerio de Salud, requerimiento allegado por la Subsecretaría de Planeación Sectorial, mediante radicado No.202441430400002414 a la Secretaría de Salud del Distrito Especial de Santiago de Cali; se comunica en referencia al asunto, que en la  Institución Educativa Ciudad de Cali, ubicada en la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Calle 30 # 25 - 00 barrio Prados del Oriente de la comuna 11 en Santiago de Cali, se realizo fumigación durante el último trimestre del 2024, con 8 controles en este periodo, por parte de la Empresa TECNISEC, contratada por la Secretaría de Salud Distrital debido a la epidemia de Dengue en la ciudad.  </w:t>
      </w:r>
    </w:p>
    <w:p>
      <w:pPr>
        <w:pStyle w:val="LOnormal"/>
        <w:spacing w:lineRule="auto" w:line="276"/>
        <w:ind w:left="0" w:right="0" w:hanging="0"/>
        <w:jc w:val="both"/>
        <w:rPr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u w:val="none"/>
          <w:shd w:fill="FFFFFF" w:val="clear"/>
        </w:rPr>
      </w:pPr>
      <w:r>
        <w:rPr>
          <w:b w:val="false"/>
          <w:i w:val="false"/>
          <w:caps w:val="false"/>
          <w:smallCaps w:val="false"/>
          <w:strike w:val="false"/>
          <w:dstrike w:val="false"/>
          <w:u w:val="none"/>
          <w:shd w:fill="FFFFFF" w:val="clear"/>
        </w:rPr>
      </w:r>
    </w:p>
    <w:p>
      <w:pPr>
        <w:pStyle w:val="LOnormal"/>
        <w:spacing w:lineRule="auto" w:line="276"/>
        <w:ind w:left="0" w:right="0" w:hanging="0"/>
        <w:jc w:val="both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Sin embargo es importante resaltar que de acuerdo a la Ley 9 de 1979, que es la norma marco de las acciones de carácter sanitario que contribuyen en la preservación, restauración y mejoramiento de las condiciones sanitarias relacionadas con la salud humana, donde se establecen las normas generales para los productos, servicios y establecimientos objetos de inspección y vigilancia, así como los procedimientos y medidas sanitarias que se debe aplicar para su control (artículos 198 y 207) y a la Resolución 1229 de 2013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</w:rPr>
        <w:t xml:space="preserve"> “</w:t>
      </w:r>
      <w:r>
        <w:rPr>
          <w:rFonts w:eastAsia="Arial" w:cs="Arial" w:ascii="Arial" w:hAnsi="Arial"/>
          <w:b w:val="false"/>
          <w:i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</w:rPr>
        <w:t>Por la cual se establece el modelo de inspección, vigilancia y control sanitario para los productos de uso y consumo humano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</w:rPr>
        <w:t>”;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donde se define que los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</w:rPr>
        <w:t>“</w:t>
      </w:r>
      <w:r>
        <w:rPr>
          <w:rFonts w:eastAsia="Arial" w:cs="Arial" w:ascii="Arial" w:hAnsi="Arial"/>
          <w:b w:val="false"/>
          <w:i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</w:rPr>
        <w:t>Sujetos de inspección, vigilancia y control sanitario son las personas naturales y jurídicas, organizaciones e instituciones obligadas a proteger la salud pública y garantizar la seguridad sanitaria a través de su desempeño…”</w:t>
      </w:r>
      <w:r>
        <w:rPr>
          <w:rFonts w:eastAsia="Arial" w:cs="Arial" w:ascii="Arial" w:hAnsi="Arial"/>
          <w:b w:val="false"/>
          <w:i/>
          <w:caps w:val="false"/>
          <w:smallCaps w:val="false"/>
          <w:strike w:val="false"/>
          <w:dstrike w:val="false"/>
          <w:color w:val="000000"/>
          <w:u w:val="none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(artículo 4), los establecimientos deben aplicar las medidas preventivas y/o correctivas si es el caso, con el fin de cumplir con las condiciones higiénico sanitarias; lo cual incluye el componente integral de vectores.</w:t>
      </w:r>
    </w:p>
    <w:p>
      <w:pPr>
        <w:pStyle w:val="LOnormal"/>
        <w:spacing w:lineRule="auto" w:line="276" w:before="0" w:after="120"/>
        <w:ind w:left="0" w:right="0" w:hanging="0"/>
        <w:rPr>
          <w:rFonts w:eastAsia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Times New Roman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LOnormal"/>
        <w:spacing w:lineRule="auto" w:line="276" w:before="0" w:after="120"/>
        <w:ind w:left="0" w:right="0" w:hanging="0"/>
        <w:rPr>
          <w:rFonts w:eastAsia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Times New Roman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LOnormal"/>
        <w:spacing w:lineRule="auto" w:line="276"/>
        <w:ind w:left="0" w:right="0" w:hanging="0"/>
        <w:jc w:val="both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 xml:space="preserve">Teniendo en cuenta lo anterior, se informa que las funciones de este organismo no se extienden a la prestación de servicios de fumigación a establecimientos. Estas intervenciones unicamente se realizan durante situaciones epidémicas y/o emergencia. Las acciones  de los funcionarios designados por la Secretaría de Salud del Distrito Especial de Santiago de Cali se enfocan en verificar que los establecimientos objeto de inspección, vigilancia y control cumplan con las condiciones establecidas en la ley y los reglamentos correspondientes. Estas acciones se enmarcan en las competencias designadas a las autoridades de salud en el ámbito territorial a través de la Ley 715 de 2001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shd w:fill="FFFFFF" w:val="clear"/>
        </w:rPr>
        <w:t>"</w:t>
      </w:r>
      <w:r>
        <w:rPr>
          <w:rFonts w:eastAsia="Arial" w:cs="Arial" w:ascii="Arial" w:hAnsi="Arial"/>
          <w:b w:val="false"/>
          <w:i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shd w:fill="FFFFFF" w:val="clear"/>
        </w:rPr>
        <w:t>Por la cual se dictan normas orgánicas en materia de recursos y competencias de conformidad con los artículos 151, 288, 356 y 357 (Acto Legislativo 01 de 2001) de la Constitución Política y se dictan otras disposiciones para organizar la prestación de los servicios de educación y salud, entre otros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shd w:fill="FFFFFF" w:val="clear"/>
        </w:rPr>
        <w:t>"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, en su artículo 44.3.5.</w:t>
      </w:r>
    </w:p>
    <w:p>
      <w:pPr>
        <w:pStyle w:val="LOnormal"/>
        <w:spacing w:lineRule="auto" w:line="276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LOnormal"/>
        <w:spacing w:lineRule="auto" w:line="276"/>
        <w:ind w:left="0" w:right="0" w:hanging="0"/>
        <w:jc w:val="both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>Cabe resaltar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, que la mejor manera de controlar la transmisión es evitar criaderos del vector </w:t>
      </w:r>
      <w:r>
        <w:rPr>
          <w:rFonts w:eastAsia="Arial" w:cs="Arial" w:ascii="Arial" w:hAnsi="Arial"/>
          <w:b w:val="false"/>
          <w:i/>
          <w:caps w:val="false"/>
          <w:smallCaps w:val="false"/>
          <w:strike w:val="false"/>
          <w:dstrike w:val="false"/>
          <w:color w:val="000000"/>
          <w:u w:val="none"/>
        </w:rPr>
        <w:t>Aedes aegypti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, pues la fumigación solo actúa sobre los zancudos que tengan contacto con el insecticida, pero si hay criaderos en la edificación, es posible que al día siguiente haya nuevamente zancudos.</w:t>
      </w:r>
    </w:p>
    <w:p>
      <w:pPr>
        <w:pStyle w:val="LOnormal"/>
        <w:tabs>
          <w:tab w:val="clear" w:pos="709"/>
          <w:tab w:val="left" w:pos="0" w:leader="none"/>
        </w:tabs>
        <w:spacing w:lineRule="auto" w:line="276"/>
        <w:ind w:left="707" w:right="0" w:hanging="283"/>
        <w:jc w:val="both"/>
        <w:rPr>
          <w:rFonts w:cs="Times New Roman"/>
          <w:iCs/>
          <w:kern w:val="2"/>
          <w:effect w:val="none"/>
          <w:shd w:fill="FFFFFF" w:val="clear"/>
          <w:lang w:eastAsia="ar-SA"/>
        </w:rPr>
      </w:pPr>
      <w:r>
        <w:rPr>
          <w:rFonts w:cs="Times New Roman"/>
          <w:iCs/>
          <w:kern w:val="2"/>
          <w:effect w:val="none"/>
          <w:shd w:fill="FFFFFF" w:val="clear"/>
          <w:lang w:eastAsia="ar-SA"/>
        </w:rPr>
      </w:r>
    </w:p>
    <w:p>
      <w:pPr>
        <w:pStyle w:val="Cuerpodetexto"/>
        <w:tabs>
          <w:tab w:val="clear" w:pos="709"/>
          <w:tab w:val="left" w:pos="735" w:leader="none"/>
        </w:tabs>
        <w:suppressAutoHyphens w:val="true"/>
        <w:bidi w:val="0"/>
        <w:spacing w:lineRule="auto" w:line="276" w:before="0" w:after="0"/>
        <w:ind w:left="0" w:right="0" w:hanging="0"/>
        <w:jc w:val="both"/>
        <w:rPr>
          <w:rFonts w:ascii="Arial" w:hAnsi="Arial" w:eastAsia="Arial Unicode MS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auto"/>
          <w:sz w:val="24"/>
          <w:szCs w:val="24"/>
          <w:u w:val="none"/>
          <w:lang w:val="es-CO" w:bidi="ar-SA"/>
        </w:rPr>
      </w:pPr>
      <w:r>
        <w:rPr>
          <w:rFonts w:eastAsia="Arial Unicode MS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Con lo anterior se da respuesta de fondo a su solicitud, no obstante, estaremos atentos en caso de requerir información adicional.</w:t>
      </w:r>
    </w:p>
    <w:p>
      <w:pPr>
        <w:pStyle w:val="LOnormal"/>
        <w:spacing w:lineRule="auto" w:line="276" w:before="0" w:after="120"/>
        <w:ind w:left="0" w:right="0" w:hanging="0"/>
        <w:jc w:val="both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sz w:val="24"/>
          <w:szCs w:val="24"/>
          <w:u w:val="none"/>
          <w:lang w:val="es-CO" w:bidi="ar-SA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sz w:val="24"/>
          <w:szCs w:val="24"/>
          <w:u w:val="none"/>
          <w:lang w:val="es-CO" w:bidi="ar-SA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</w:r>
    </w:p>
    <w:p>
      <w:pPr>
        <w:pStyle w:val="LOnormal"/>
        <w:widowControl/>
        <w:spacing w:lineRule="auto" w:line="240"/>
        <w:rPr/>
      </w:pPr>
      <w:r>
        <w:rPr/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CARLOS EDUARDO PINZÓN FLÓREZ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Subsecretario de Promoción, Prevención y Producción Social de la Salud. 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Secretaría de Salud del Distrito Especial de Santiago de Cali.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  <w:lang w:val="es-ES"/>
        </w:rPr>
        <w:t xml:space="preserve">CC: </w:t>
      </w:r>
      <w:r>
        <w:rPr>
          <w:rFonts w:cs="Arial" w:ascii="Arial" w:hAnsi="Arial"/>
          <w:sz w:val="16"/>
          <w:szCs w:val="16"/>
        </w:rPr>
        <w:t>peticionesanonimas@minsalud.gov.co</w:t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 y Elaboró: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  <w:lang w:val="es-ES"/>
        </w:rPr>
        <w:t>Johnny Eduardo Narvaez – Profesional Universitario Grado 2, Olga Lucía Cuéllar Mejía- Profesional Universitario Grado 2.</w:t>
      </w:r>
    </w:p>
    <w:p>
      <w:pPr>
        <w:pStyle w:val="NormalWeb"/>
        <w:suppressAutoHyphens w:val="true"/>
        <w:spacing w:beforeAutospacing="0" w:before="0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  <w:lang w:val="es-ES"/>
        </w:rPr>
        <w:t xml:space="preserve">Revisó: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  <w:lang w:val="es-ES"/>
        </w:rPr>
        <w:t xml:space="preserve">José Julián Fichman Delgado – Director Local de Salud 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http://www.cali.gov.co/aplicaciones/encuestas_ciudadano/view_encuesta_satisfaccion.p</w:t>
      </w:r>
      <w:bookmarkStart w:id="0" w:name="_GoBack"/>
      <w:bookmarkEnd w:id="0"/>
      <w:r>
        <w:rPr>
          <w:rFonts w:cs="Arial" w:ascii="Arial" w:hAnsi="Arial"/>
          <w:color w:val="000000"/>
          <w:sz w:val="16"/>
          <w:szCs w:val="16"/>
          <w:shd w:fill="FFFFFF" w:val="clear"/>
        </w:rPr>
        <w:t>hp</w:t>
      </w:r>
    </w:p>
    <w:sectPr>
      <w:headerReference w:type="default" r:id="rId2"/>
      <w:footerReference w:type="default" r:id="rId3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3" wp14:anchorId="35C5AF76">
              <wp:simplePos x="0" y="0"/>
              <wp:positionH relativeFrom="column">
                <wp:posOffset>7620</wp:posOffset>
              </wp:positionH>
              <wp:positionV relativeFrom="paragraph">
                <wp:posOffset>7265670</wp:posOffset>
              </wp:positionV>
              <wp:extent cx="1042035" cy="4445"/>
              <wp:effectExtent l="0" t="0" r="0" b="0"/>
              <wp:wrapSquare wrapText="largest"/>
              <wp:docPr id="4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1480" cy="396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6pt;margin-top:572.1pt;width:81.95pt;height:0.2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5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5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7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29205" cy="1020445"/>
              <wp:effectExtent l="0" t="0" r="0" b="0"/>
              <wp:wrapSquare wrapText="bothSides"/>
              <wp:docPr id="1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8640" cy="1019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*202541450200001781*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202541450200001781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2025-01-15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4145.020.14.12.187.000178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202541450200001781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05pt;height:80.2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*202541450200001781*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202541450200001781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2025-01-15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4145.020.14.12.187.000178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202541450200001781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3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Application>LibreOffice/7.0.3.1$Windows_X86_64 LibreOffice_project/d7547858d014d4cf69878db179d326fc3483e082</Application>
  <Pages>2</Pages>
  <Words>664</Words>
  <Characters>3837</Characters>
  <CharactersWithSpaces>4484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2025-01-15T14:22:55Z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